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DFB8B" w14:textId="77777777" w:rsidR="005942EA" w:rsidRPr="005942EA" w:rsidRDefault="005942EA" w:rsidP="00087190">
      <w:pPr>
        <w:pStyle w:val="Heading1"/>
        <w:ind w:left="3" w:right="3"/>
        <w:jc w:val="left"/>
        <w:rPr>
          <w:rFonts w:ascii="Arial" w:hAnsi="Arial" w:cs="Arial"/>
          <w:sz w:val="28"/>
          <w:szCs w:val="28"/>
        </w:rPr>
      </w:pPr>
      <w:bookmarkStart w:id="0" w:name="Report_Purpose:"/>
      <w:bookmarkEnd w:id="0"/>
      <w:r w:rsidRPr="005942EA">
        <w:rPr>
          <w:rFonts w:ascii="Arial" w:hAnsi="Arial" w:cs="Arial"/>
          <w:sz w:val="28"/>
          <w:szCs w:val="28"/>
        </w:rPr>
        <w:t>Report Purpose:</w:t>
      </w:r>
    </w:p>
    <w:p w14:paraId="5DDCCE6F" w14:textId="1A481CAB" w:rsidR="00363B8D" w:rsidRPr="005942EA" w:rsidRDefault="00771002" w:rsidP="005942EA">
      <w:pPr>
        <w:tabs>
          <w:tab w:val="left" w:pos="566"/>
        </w:tabs>
        <w:spacing w:before="25"/>
        <w:rPr>
          <w:rFonts w:ascii="Arial" w:eastAsia="Arial" w:hAnsi="Arial" w:cs="Arial"/>
          <w:sz w:val="24"/>
        </w:rPr>
      </w:pPr>
      <w:r>
        <w:rPr>
          <w:rFonts w:ascii="Arial" w:eastAsia="Arial" w:hAnsi="Arial" w:cs="Arial"/>
          <w:sz w:val="24"/>
        </w:rPr>
        <w:t>Town of Culture</w:t>
      </w:r>
    </w:p>
    <w:p w14:paraId="56D0252D" w14:textId="77777777" w:rsidR="00087190" w:rsidRDefault="00087190" w:rsidP="00087190">
      <w:pPr>
        <w:pStyle w:val="Heading1"/>
        <w:ind w:left="3" w:right="3"/>
        <w:jc w:val="left"/>
        <w:rPr>
          <w:rFonts w:ascii="Arial" w:hAnsi="Arial" w:cs="Arial"/>
          <w:sz w:val="28"/>
          <w:szCs w:val="28"/>
        </w:rPr>
      </w:pPr>
      <w:bookmarkStart w:id="1" w:name="Author:"/>
      <w:bookmarkEnd w:id="1"/>
    </w:p>
    <w:p w14:paraId="6CE8F391" w14:textId="78C27359" w:rsidR="005942EA" w:rsidRPr="005942EA" w:rsidRDefault="005942EA" w:rsidP="00087190">
      <w:pPr>
        <w:pStyle w:val="Heading1"/>
        <w:ind w:left="3" w:right="3"/>
        <w:jc w:val="left"/>
        <w:rPr>
          <w:rFonts w:ascii="Arial" w:hAnsi="Arial" w:cs="Arial"/>
          <w:sz w:val="28"/>
          <w:szCs w:val="28"/>
        </w:rPr>
      </w:pPr>
      <w:r w:rsidRPr="005942EA">
        <w:rPr>
          <w:rFonts w:ascii="Arial" w:hAnsi="Arial" w:cs="Arial"/>
          <w:sz w:val="28"/>
          <w:szCs w:val="28"/>
        </w:rPr>
        <w:t>Author:</w:t>
      </w:r>
    </w:p>
    <w:p w14:paraId="3FD4EACD" w14:textId="77777777" w:rsidR="005942EA" w:rsidRDefault="005942EA" w:rsidP="008717DA">
      <w:pPr>
        <w:spacing w:before="25"/>
        <w:rPr>
          <w:rFonts w:ascii="Arial" w:eastAsia="Arial" w:hAnsi="Arial" w:cs="Arial"/>
          <w:spacing w:val="-2"/>
          <w:sz w:val="24"/>
          <w:szCs w:val="24"/>
        </w:rPr>
      </w:pPr>
      <w:r w:rsidRPr="005942EA">
        <w:rPr>
          <w:rFonts w:ascii="Arial" w:eastAsia="Arial" w:hAnsi="Arial" w:cs="Arial"/>
          <w:sz w:val="24"/>
          <w:szCs w:val="24"/>
        </w:rPr>
        <w:t>Town</w:t>
      </w:r>
      <w:r w:rsidRPr="005942EA">
        <w:rPr>
          <w:rFonts w:ascii="Arial" w:eastAsia="Arial" w:hAnsi="Arial" w:cs="Arial"/>
          <w:spacing w:val="-8"/>
          <w:sz w:val="24"/>
          <w:szCs w:val="24"/>
        </w:rPr>
        <w:t xml:space="preserve"> </w:t>
      </w:r>
      <w:r w:rsidRPr="005942EA">
        <w:rPr>
          <w:rFonts w:ascii="Arial" w:eastAsia="Arial" w:hAnsi="Arial" w:cs="Arial"/>
          <w:spacing w:val="-2"/>
          <w:sz w:val="24"/>
          <w:szCs w:val="24"/>
        </w:rPr>
        <w:t>Clerk</w:t>
      </w:r>
    </w:p>
    <w:p w14:paraId="0B91C95E" w14:textId="77777777" w:rsidR="005B232E" w:rsidRPr="005B232E" w:rsidRDefault="005B232E" w:rsidP="005B232E">
      <w:pPr>
        <w:widowControl/>
        <w:autoSpaceDE/>
        <w:autoSpaceDN/>
        <w:spacing w:before="100" w:beforeAutospacing="1" w:after="100" w:afterAutospacing="1"/>
        <w:outlineLvl w:val="2"/>
        <w:rPr>
          <w:rFonts w:ascii="Arial" w:eastAsia="Arial" w:hAnsi="Arial" w:cs="Arial"/>
          <w:b/>
          <w:bCs/>
          <w:sz w:val="24"/>
        </w:rPr>
      </w:pPr>
      <w:r w:rsidRPr="005B232E">
        <w:rPr>
          <w:rFonts w:ascii="Arial" w:eastAsia="Arial" w:hAnsi="Arial" w:cs="Arial"/>
          <w:b/>
          <w:bCs/>
          <w:sz w:val="24"/>
        </w:rPr>
        <w:t>Background:</w:t>
      </w:r>
    </w:p>
    <w:p w14:paraId="72E6E2A1" w14:textId="77777777" w:rsidR="005B232E" w:rsidRPr="005A2875" w:rsidRDefault="005B232E" w:rsidP="005B232E">
      <w:pPr>
        <w:widowControl/>
        <w:autoSpaceDE/>
        <w:autoSpaceDN/>
        <w:spacing w:before="100" w:beforeAutospacing="1" w:after="100" w:afterAutospacing="1"/>
        <w:outlineLvl w:val="2"/>
        <w:rPr>
          <w:rFonts w:ascii="Arial" w:eastAsia="Arial" w:hAnsi="Arial" w:cs="Arial"/>
          <w:sz w:val="24"/>
        </w:rPr>
      </w:pPr>
      <w:r w:rsidRPr="005A2875">
        <w:rPr>
          <w:rFonts w:ascii="Arial" w:eastAsia="Arial" w:hAnsi="Arial" w:cs="Arial"/>
          <w:sz w:val="24"/>
        </w:rPr>
        <w:t xml:space="preserve">The Town of Culture is a national government initiative designed to celebrate and support the cultural life of towns across the UK. It aims to </w:t>
      </w:r>
      <w:proofErr w:type="spellStart"/>
      <w:r w:rsidRPr="005A2875">
        <w:rPr>
          <w:rFonts w:ascii="Arial" w:eastAsia="Arial" w:hAnsi="Arial" w:cs="Arial"/>
          <w:sz w:val="24"/>
        </w:rPr>
        <w:t>recognise</w:t>
      </w:r>
      <w:proofErr w:type="spellEnd"/>
      <w:r w:rsidRPr="005A2875">
        <w:rPr>
          <w:rFonts w:ascii="Arial" w:eastAsia="Arial" w:hAnsi="Arial" w:cs="Arial"/>
          <w:sz w:val="24"/>
        </w:rPr>
        <w:t xml:space="preserve"> places with vibrant creative communities, encourage local participation in arts and culture, and attract investment and tourism. The </w:t>
      </w:r>
      <w:proofErr w:type="spellStart"/>
      <w:r w:rsidRPr="005A2875">
        <w:rPr>
          <w:rFonts w:ascii="Arial" w:eastAsia="Arial" w:hAnsi="Arial" w:cs="Arial"/>
          <w:sz w:val="24"/>
        </w:rPr>
        <w:t>programme</w:t>
      </w:r>
      <w:proofErr w:type="spellEnd"/>
      <w:r w:rsidRPr="005A2875">
        <w:rPr>
          <w:rFonts w:ascii="Arial" w:eastAsia="Arial" w:hAnsi="Arial" w:cs="Arial"/>
          <w:sz w:val="24"/>
        </w:rPr>
        <w:t xml:space="preserve"> operates as a competitive bidding process, requiring towns to submit a two-stage application: an initial expression of interest, followed, if shortlisted, by a full detailed proposal demonstrating the town’s cultural vision, capacity to deliver, and potential impact. Successful towns are awarded funding and support to deliver a year-long </w:t>
      </w:r>
      <w:proofErr w:type="spellStart"/>
      <w:r w:rsidRPr="005A2875">
        <w:rPr>
          <w:rFonts w:ascii="Arial" w:eastAsia="Arial" w:hAnsi="Arial" w:cs="Arial"/>
          <w:sz w:val="24"/>
        </w:rPr>
        <w:t>programme</w:t>
      </w:r>
      <w:proofErr w:type="spellEnd"/>
      <w:r w:rsidRPr="005A2875">
        <w:rPr>
          <w:rFonts w:ascii="Arial" w:eastAsia="Arial" w:hAnsi="Arial" w:cs="Arial"/>
          <w:sz w:val="24"/>
        </w:rPr>
        <w:t xml:space="preserve"> of cultural activity.</w:t>
      </w:r>
    </w:p>
    <w:p w14:paraId="40695962" w14:textId="77777777" w:rsidR="005B232E" w:rsidRPr="005B232E" w:rsidRDefault="005B232E" w:rsidP="005B232E">
      <w:pPr>
        <w:widowControl/>
        <w:autoSpaceDE/>
        <w:autoSpaceDN/>
        <w:spacing w:before="100" w:beforeAutospacing="1" w:after="100" w:afterAutospacing="1"/>
        <w:outlineLvl w:val="2"/>
        <w:rPr>
          <w:rFonts w:ascii="Arial" w:eastAsia="Arial" w:hAnsi="Arial" w:cs="Arial"/>
          <w:b/>
          <w:bCs/>
          <w:sz w:val="24"/>
        </w:rPr>
      </w:pPr>
      <w:r w:rsidRPr="005B232E">
        <w:rPr>
          <w:rFonts w:ascii="Arial" w:eastAsia="Arial" w:hAnsi="Arial" w:cs="Arial"/>
          <w:b/>
          <w:bCs/>
          <w:sz w:val="24"/>
        </w:rPr>
        <w:t>Partnership with Macclesfield Culture Collective:</w:t>
      </w:r>
    </w:p>
    <w:p w14:paraId="0B089E80" w14:textId="5256D0B1" w:rsidR="009527C7" w:rsidRDefault="005B232E" w:rsidP="00C14EE3">
      <w:pPr>
        <w:widowControl/>
        <w:autoSpaceDE/>
        <w:autoSpaceDN/>
        <w:spacing w:before="100" w:beforeAutospacing="1" w:after="100" w:afterAutospacing="1"/>
        <w:outlineLvl w:val="2"/>
        <w:rPr>
          <w:rFonts w:ascii="Arial" w:eastAsia="Arial" w:hAnsi="Arial" w:cs="Arial"/>
          <w:sz w:val="24"/>
        </w:rPr>
      </w:pPr>
      <w:r w:rsidRPr="005A2875">
        <w:rPr>
          <w:rFonts w:ascii="Arial" w:eastAsia="Arial" w:hAnsi="Arial" w:cs="Arial"/>
          <w:sz w:val="24"/>
        </w:rPr>
        <w:t>Macclesfield Town Council (MTC) will work in partnership with the Macclesfield Culture Collective, an initiative established by T</w:t>
      </w:r>
      <w:r w:rsidR="006C48AE">
        <w:rPr>
          <w:rFonts w:ascii="Arial" w:eastAsia="Arial" w:hAnsi="Arial" w:cs="Arial"/>
          <w:sz w:val="24"/>
        </w:rPr>
        <w:t>ho</w:t>
      </w:r>
      <w:r w:rsidRPr="005A2875">
        <w:rPr>
          <w:rFonts w:ascii="Arial" w:eastAsia="Arial" w:hAnsi="Arial" w:cs="Arial"/>
          <w:sz w:val="24"/>
        </w:rPr>
        <w:t>m</w:t>
      </w:r>
      <w:r w:rsidR="006C48AE">
        <w:rPr>
          <w:rFonts w:ascii="Arial" w:eastAsia="Arial" w:hAnsi="Arial" w:cs="Arial"/>
          <w:sz w:val="24"/>
        </w:rPr>
        <w:t>as</w:t>
      </w:r>
      <w:r w:rsidRPr="005A2875">
        <w:rPr>
          <w:rFonts w:ascii="Arial" w:eastAsia="Arial" w:hAnsi="Arial" w:cs="Arial"/>
          <w:sz w:val="24"/>
        </w:rPr>
        <w:t xml:space="preserve"> B</w:t>
      </w:r>
      <w:r w:rsidR="006C48AE">
        <w:rPr>
          <w:rFonts w:ascii="Arial" w:eastAsia="Arial" w:hAnsi="Arial" w:cs="Arial"/>
          <w:sz w:val="24"/>
        </w:rPr>
        <w:t>roadhead</w:t>
      </w:r>
      <w:r w:rsidRPr="005A2875">
        <w:rPr>
          <w:rFonts w:ascii="Arial" w:eastAsia="Arial" w:hAnsi="Arial" w:cs="Arial"/>
          <w:sz w:val="24"/>
        </w:rPr>
        <w:t xml:space="preserve"> and currently progressing towards incorporation as a Community Interest Company (CIC), to prepare and submit the Town of Culture bid. In this role, MTC would act as the accountable body for the project, managing funding and ensuring compliance with government requirements. </w:t>
      </w:r>
      <w:r w:rsidR="00C14EE3" w:rsidRPr="00C14EE3">
        <w:rPr>
          <w:rFonts w:ascii="Arial" w:eastAsia="Arial" w:hAnsi="Arial" w:cs="Arial"/>
          <w:sz w:val="24"/>
        </w:rPr>
        <w:t xml:space="preserve">This includes keeping accurate records, providing evidence of </w:t>
      </w:r>
      <w:proofErr w:type="gramStart"/>
      <w:r w:rsidR="00C14EE3" w:rsidRPr="00C14EE3">
        <w:rPr>
          <w:rFonts w:ascii="Arial" w:eastAsia="Arial" w:hAnsi="Arial" w:cs="Arial"/>
          <w:sz w:val="24"/>
        </w:rPr>
        <w:t>spend</w:t>
      </w:r>
      <w:proofErr w:type="gramEnd"/>
      <w:r w:rsidR="00C14EE3" w:rsidRPr="00C14EE3">
        <w:rPr>
          <w:rFonts w:ascii="Arial" w:eastAsia="Arial" w:hAnsi="Arial" w:cs="Arial"/>
          <w:sz w:val="24"/>
        </w:rPr>
        <w:t xml:space="preserve"> and project delivery, and submitting reports as required by the funding </w:t>
      </w:r>
      <w:r w:rsidR="002B1AF2" w:rsidRPr="00C14EE3">
        <w:rPr>
          <w:rFonts w:ascii="Arial" w:eastAsia="Arial" w:hAnsi="Arial" w:cs="Arial"/>
          <w:sz w:val="24"/>
        </w:rPr>
        <w:t>body. The</w:t>
      </w:r>
      <w:r w:rsidR="00C14EE3" w:rsidRPr="00C14EE3">
        <w:rPr>
          <w:rFonts w:ascii="Arial" w:eastAsia="Arial" w:hAnsi="Arial" w:cs="Arial"/>
          <w:sz w:val="24"/>
        </w:rPr>
        <w:t xml:space="preserve"> funding agreement may include provisions for </w:t>
      </w:r>
      <w:r w:rsidR="002A6D6F" w:rsidRPr="00C14EE3">
        <w:rPr>
          <w:rFonts w:ascii="Arial" w:eastAsia="Arial" w:hAnsi="Arial" w:cs="Arial"/>
          <w:sz w:val="24"/>
        </w:rPr>
        <w:t>claw back</w:t>
      </w:r>
      <w:r w:rsidR="00C14EE3" w:rsidRPr="00C14EE3">
        <w:rPr>
          <w:rFonts w:ascii="Arial" w:eastAsia="Arial" w:hAnsi="Arial" w:cs="Arial"/>
          <w:sz w:val="24"/>
        </w:rPr>
        <w:t xml:space="preserve"> if the </w:t>
      </w:r>
      <w:proofErr w:type="spellStart"/>
      <w:r w:rsidR="00C14EE3" w:rsidRPr="00C14EE3">
        <w:rPr>
          <w:rFonts w:ascii="Arial" w:eastAsia="Arial" w:hAnsi="Arial" w:cs="Arial"/>
          <w:sz w:val="24"/>
        </w:rPr>
        <w:t>programme</w:t>
      </w:r>
      <w:proofErr w:type="spellEnd"/>
      <w:r w:rsidR="00C14EE3" w:rsidRPr="00C14EE3">
        <w:rPr>
          <w:rFonts w:ascii="Arial" w:eastAsia="Arial" w:hAnsi="Arial" w:cs="Arial"/>
          <w:sz w:val="24"/>
        </w:rPr>
        <w:t xml:space="preserve"> is not delivered as agreed, funds are misused, or evidence of outcomes is insufficient. This exposes the accountable body to potential financial liability.</w:t>
      </w:r>
    </w:p>
    <w:p w14:paraId="3C9465E3" w14:textId="3ACCC56A" w:rsidR="00197380" w:rsidRPr="00197380" w:rsidRDefault="0099074D" w:rsidP="00197380">
      <w:pPr>
        <w:widowControl/>
        <w:autoSpaceDE/>
        <w:autoSpaceDN/>
        <w:spacing w:before="100" w:beforeAutospacing="1" w:after="100" w:afterAutospacing="1"/>
        <w:outlineLvl w:val="2"/>
        <w:rPr>
          <w:rFonts w:ascii="Arial" w:eastAsia="Arial" w:hAnsi="Arial" w:cs="Arial"/>
          <w:sz w:val="24"/>
        </w:rPr>
      </w:pPr>
      <w:r>
        <w:rPr>
          <w:rFonts w:ascii="Arial" w:eastAsia="Arial" w:hAnsi="Arial" w:cs="Arial"/>
          <w:sz w:val="24"/>
        </w:rPr>
        <w:t xml:space="preserve">This can be mitigated by establishing </w:t>
      </w:r>
      <w:r w:rsidR="00197380" w:rsidRPr="00197380">
        <w:rPr>
          <w:rFonts w:ascii="Arial" w:eastAsia="Arial" w:hAnsi="Arial" w:cs="Arial"/>
          <w:sz w:val="24"/>
        </w:rPr>
        <w:t>a formal partnership agreement with Macclesfield Culture Collective that clearly defines responsibilities, reporting requirements, and liabilities.</w:t>
      </w:r>
      <w:r w:rsidR="009C1590">
        <w:rPr>
          <w:rFonts w:ascii="Arial" w:eastAsia="Arial" w:hAnsi="Arial" w:cs="Arial"/>
          <w:sz w:val="24"/>
        </w:rPr>
        <w:t xml:space="preserve"> </w:t>
      </w:r>
      <w:proofErr w:type="gramStart"/>
      <w:r w:rsidR="009C1590">
        <w:rPr>
          <w:rFonts w:ascii="Arial" w:eastAsia="Arial" w:hAnsi="Arial" w:cs="Arial"/>
          <w:sz w:val="24"/>
        </w:rPr>
        <w:t>Therefore</w:t>
      </w:r>
      <w:proofErr w:type="gramEnd"/>
      <w:r w:rsidR="009C1590">
        <w:rPr>
          <w:rFonts w:ascii="Arial" w:eastAsia="Arial" w:hAnsi="Arial" w:cs="Arial"/>
          <w:sz w:val="24"/>
        </w:rPr>
        <w:t xml:space="preserve"> the following is a must:</w:t>
      </w:r>
    </w:p>
    <w:p w14:paraId="6B3888B8" w14:textId="77777777" w:rsidR="00197380" w:rsidRPr="009C1590" w:rsidRDefault="00197380" w:rsidP="009C1590">
      <w:pPr>
        <w:pStyle w:val="ListParagraph"/>
        <w:widowControl/>
        <w:numPr>
          <w:ilvl w:val="0"/>
          <w:numId w:val="8"/>
        </w:numPr>
        <w:autoSpaceDE/>
        <w:autoSpaceDN/>
        <w:spacing w:before="100" w:beforeAutospacing="1" w:after="100" w:afterAutospacing="1"/>
        <w:outlineLvl w:val="2"/>
        <w:rPr>
          <w:rFonts w:ascii="Arial" w:eastAsia="Arial" w:hAnsi="Arial" w:cs="Arial"/>
          <w:sz w:val="24"/>
        </w:rPr>
      </w:pPr>
      <w:r w:rsidRPr="009C1590">
        <w:rPr>
          <w:rFonts w:ascii="Arial" w:eastAsia="Arial" w:hAnsi="Arial" w:cs="Arial"/>
          <w:sz w:val="24"/>
        </w:rPr>
        <w:t>Implementing rigorous project monitoring and reporting to track spend, milestones, and delivery outcomes.</w:t>
      </w:r>
    </w:p>
    <w:p w14:paraId="6129BB62" w14:textId="77777777" w:rsidR="00197380" w:rsidRPr="009C1590" w:rsidRDefault="00197380" w:rsidP="009C1590">
      <w:pPr>
        <w:pStyle w:val="ListParagraph"/>
        <w:widowControl/>
        <w:numPr>
          <w:ilvl w:val="0"/>
          <w:numId w:val="8"/>
        </w:numPr>
        <w:autoSpaceDE/>
        <w:autoSpaceDN/>
        <w:spacing w:before="100" w:beforeAutospacing="1" w:after="100" w:afterAutospacing="1"/>
        <w:outlineLvl w:val="2"/>
        <w:rPr>
          <w:rFonts w:ascii="Arial" w:eastAsia="Arial" w:hAnsi="Arial" w:cs="Arial"/>
          <w:sz w:val="24"/>
        </w:rPr>
      </w:pPr>
      <w:r w:rsidRPr="009C1590">
        <w:rPr>
          <w:rFonts w:ascii="Arial" w:eastAsia="Arial" w:hAnsi="Arial" w:cs="Arial"/>
          <w:sz w:val="24"/>
        </w:rPr>
        <w:t xml:space="preserve">Maintaining clear audit trails and documentation for all expenditure and </w:t>
      </w:r>
      <w:proofErr w:type="spellStart"/>
      <w:r w:rsidRPr="009C1590">
        <w:rPr>
          <w:rFonts w:ascii="Arial" w:eastAsia="Arial" w:hAnsi="Arial" w:cs="Arial"/>
          <w:sz w:val="24"/>
        </w:rPr>
        <w:t>programme</w:t>
      </w:r>
      <w:proofErr w:type="spellEnd"/>
      <w:r w:rsidRPr="009C1590">
        <w:rPr>
          <w:rFonts w:ascii="Arial" w:eastAsia="Arial" w:hAnsi="Arial" w:cs="Arial"/>
          <w:sz w:val="24"/>
        </w:rPr>
        <w:t xml:space="preserve"> activity.</w:t>
      </w:r>
    </w:p>
    <w:p w14:paraId="0C400C69" w14:textId="2D889C33" w:rsidR="002075F8" w:rsidRDefault="00197380" w:rsidP="009C1590">
      <w:pPr>
        <w:pStyle w:val="ListParagraph"/>
        <w:widowControl/>
        <w:numPr>
          <w:ilvl w:val="0"/>
          <w:numId w:val="8"/>
        </w:numPr>
        <w:autoSpaceDE/>
        <w:autoSpaceDN/>
        <w:spacing w:before="100" w:beforeAutospacing="1" w:after="100" w:afterAutospacing="1"/>
        <w:outlineLvl w:val="2"/>
        <w:rPr>
          <w:rFonts w:ascii="Arial" w:eastAsia="Arial" w:hAnsi="Arial" w:cs="Arial"/>
          <w:sz w:val="24"/>
        </w:rPr>
      </w:pPr>
      <w:r w:rsidRPr="009C1590">
        <w:rPr>
          <w:rFonts w:ascii="Arial" w:eastAsia="Arial" w:hAnsi="Arial" w:cs="Arial"/>
          <w:sz w:val="24"/>
        </w:rPr>
        <w:t>Using risk management and contingency planning to anticipate operational, financial, or reputational challenges.</w:t>
      </w:r>
    </w:p>
    <w:p w14:paraId="4C888C5D" w14:textId="537285BE" w:rsidR="00EA633A" w:rsidRDefault="002A6D6F" w:rsidP="005B232E">
      <w:pPr>
        <w:pStyle w:val="ListParagraph"/>
        <w:widowControl/>
        <w:numPr>
          <w:ilvl w:val="0"/>
          <w:numId w:val="8"/>
        </w:numPr>
        <w:autoSpaceDE/>
        <w:autoSpaceDN/>
        <w:spacing w:before="100" w:beforeAutospacing="1" w:after="100" w:afterAutospacing="1"/>
        <w:outlineLvl w:val="2"/>
        <w:rPr>
          <w:rFonts w:ascii="Arial" w:eastAsia="Arial" w:hAnsi="Arial" w:cs="Arial"/>
          <w:sz w:val="24"/>
        </w:rPr>
      </w:pPr>
      <w:r>
        <w:rPr>
          <w:rFonts w:ascii="Arial" w:eastAsia="Arial" w:hAnsi="Arial" w:cs="Arial"/>
          <w:sz w:val="24"/>
        </w:rPr>
        <w:t>Employing</w:t>
      </w:r>
      <w:r w:rsidR="009C1590">
        <w:rPr>
          <w:rFonts w:ascii="Arial" w:eastAsia="Arial" w:hAnsi="Arial" w:cs="Arial"/>
          <w:sz w:val="24"/>
        </w:rPr>
        <w:t xml:space="preserve"> </w:t>
      </w:r>
      <w:proofErr w:type="gramStart"/>
      <w:r w:rsidR="00C90F79">
        <w:rPr>
          <w:rFonts w:ascii="Arial" w:eastAsia="Arial" w:hAnsi="Arial" w:cs="Arial"/>
          <w:sz w:val="24"/>
        </w:rPr>
        <w:t>a number of</w:t>
      </w:r>
      <w:proofErr w:type="gramEnd"/>
      <w:r w:rsidR="00C90F79">
        <w:rPr>
          <w:rFonts w:ascii="Arial" w:eastAsia="Arial" w:hAnsi="Arial" w:cs="Arial"/>
          <w:sz w:val="24"/>
        </w:rPr>
        <w:t xml:space="preserve"> project staff to ensure compliance.</w:t>
      </w:r>
    </w:p>
    <w:p w14:paraId="37AE4AC0" w14:textId="547C1748" w:rsidR="00947A42" w:rsidRDefault="00C90F79" w:rsidP="002E0308">
      <w:pPr>
        <w:pStyle w:val="ListParagraph"/>
        <w:widowControl/>
        <w:autoSpaceDE/>
        <w:autoSpaceDN/>
        <w:spacing w:before="100" w:beforeAutospacing="1" w:after="100" w:afterAutospacing="1"/>
        <w:ind w:left="0" w:firstLine="0"/>
        <w:outlineLvl w:val="2"/>
        <w:rPr>
          <w:rFonts w:ascii="Arial" w:eastAsia="Arial" w:hAnsi="Arial" w:cs="Arial"/>
          <w:sz w:val="24"/>
        </w:rPr>
      </w:pPr>
      <w:proofErr w:type="gramStart"/>
      <w:r>
        <w:rPr>
          <w:rFonts w:ascii="Arial" w:eastAsia="Arial" w:hAnsi="Arial" w:cs="Arial"/>
          <w:sz w:val="24"/>
        </w:rPr>
        <w:t>Plus</w:t>
      </w:r>
      <w:proofErr w:type="gramEnd"/>
      <w:r>
        <w:rPr>
          <w:rFonts w:ascii="Arial" w:eastAsia="Arial" w:hAnsi="Arial" w:cs="Arial"/>
          <w:sz w:val="24"/>
        </w:rPr>
        <w:t xml:space="preserve"> the </w:t>
      </w:r>
      <w:r w:rsidR="002A6D6F">
        <w:rPr>
          <w:rFonts w:ascii="Arial" w:eastAsia="Arial" w:hAnsi="Arial" w:cs="Arial"/>
          <w:sz w:val="24"/>
        </w:rPr>
        <w:t>Council</w:t>
      </w:r>
      <w:r>
        <w:rPr>
          <w:rFonts w:ascii="Arial" w:eastAsia="Arial" w:hAnsi="Arial" w:cs="Arial"/>
          <w:sz w:val="24"/>
        </w:rPr>
        <w:t xml:space="preserve"> will need to be </w:t>
      </w:r>
      <w:r w:rsidR="002C2A7E">
        <w:rPr>
          <w:rFonts w:ascii="Arial" w:eastAsia="Arial" w:hAnsi="Arial" w:cs="Arial"/>
          <w:sz w:val="24"/>
        </w:rPr>
        <w:t>fully reimbursed</w:t>
      </w:r>
      <w:r w:rsidR="00B052A0">
        <w:rPr>
          <w:rFonts w:ascii="Arial" w:eastAsia="Arial" w:hAnsi="Arial" w:cs="Arial"/>
          <w:sz w:val="24"/>
        </w:rPr>
        <w:t>/funded</w:t>
      </w:r>
      <w:r w:rsidR="002C2A7E">
        <w:rPr>
          <w:rFonts w:ascii="Arial" w:eastAsia="Arial" w:hAnsi="Arial" w:cs="Arial"/>
          <w:sz w:val="24"/>
        </w:rPr>
        <w:t xml:space="preserve"> for staff cost</w:t>
      </w:r>
      <w:r w:rsidR="00B052A0">
        <w:rPr>
          <w:rFonts w:ascii="Arial" w:eastAsia="Arial" w:hAnsi="Arial" w:cs="Arial"/>
          <w:sz w:val="24"/>
        </w:rPr>
        <w:t xml:space="preserve">s </w:t>
      </w:r>
      <w:r w:rsidR="00947A42" w:rsidRPr="005A2875">
        <w:rPr>
          <w:rFonts w:ascii="Arial" w:eastAsia="Arial" w:hAnsi="Arial" w:cs="Arial"/>
          <w:sz w:val="24"/>
        </w:rPr>
        <w:t>associated with the project</w:t>
      </w:r>
      <w:r>
        <w:rPr>
          <w:rFonts w:ascii="Arial" w:eastAsia="Arial" w:hAnsi="Arial" w:cs="Arial"/>
          <w:sz w:val="24"/>
        </w:rPr>
        <w:t xml:space="preserve"> and </w:t>
      </w:r>
      <w:r w:rsidR="00947A42">
        <w:rPr>
          <w:rFonts w:ascii="Arial" w:eastAsia="Arial" w:hAnsi="Arial" w:cs="Arial"/>
          <w:sz w:val="24"/>
        </w:rPr>
        <w:t xml:space="preserve">for </w:t>
      </w:r>
      <w:r w:rsidR="009859F1">
        <w:rPr>
          <w:rFonts w:ascii="Arial" w:eastAsia="Arial" w:hAnsi="Arial" w:cs="Arial"/>
          <w:sz w:val="24"/>
        </w:rPr>
        <w:t>any financial or legal obligations</w:t>
      </w:r>
      <w:r w:rsidR="00931EBC">
        <w:rPr>
          <w:rFonts w:ascii="Arial" w:eastAsia="Arial" w:hAnsi="Arial" w:cs="Arial"/>
          <w:sz w:val="24"/>
        </w:rPr>
        <w:t xml:space="preserve"> arising from the </w:t>
      </w:r>
      <w:proofErr w:type="spellStart"/>
      <w:proofErr w:type="gramStart"/>
      <w:r w:rsidR="00931EBC">
        <w:rPr>
          <w:rFonts w:ascii="Arial" w:eastAsia="Arial" w:hAnsi="Arial" w:cs="Arial"/>
          <w:sz w:val="24"/>
        </w:rPr>
        <w:t>project.</w:t>
      </w:r>
      <w:r w:rsidR="002E0308">
        <w:rPr>
          <w:rFonts w:ascii="Arial" w:eastAsia="Arial" w:hAnsi="Arial" w:cs="Arial"/>
          <w:sz w:val="24"/>
        </w:rPr>
        <w:t>and</w:t>
      </w:r>
      <w:proofErr w:type="spellEnd"/>
      <w:r w:rsidR="002E0308">
        <w:rPr>
          <w:rFonts w:ascii="Arial" w:eastAsia="Arial" w:hAnsi="Arial" w:cs="Arial"/>
          <w:sz w:val="24"/>
        </w:rPr>
        <w:t xml:space="preserve"> </w:t>
      </w:r>
      <w:r>
        <w:rPr>
          <w:rFonts w:ascii="Arial" w:eastAsia="Arial" w:hAnsi="Arial" w:cs="Arial"/>
          <w:sz w:val="24"/>
        </w:rPr>
        <w:t xml:space="preserve"> </w:t>
      </w:r>
      <w:r w:rsidR="001840C9">
        <w:rPr>
          <w:rFonts w:ascii="Arial" w:eastAsia="Arial" w:hAnsi="Arial" w:cs="Arial"/>
          <w:sz w:val="24"/>
        </w:rPr>
        <w:t>have</w:t>
      </w:r>
      <w:proofErr w:type="gramEnd"/>
      <w:r w:rsidR="001840C9">
        <w:rPr>
          <w:rFonts w:ascii="Arial" w:eastAsia="Arial" w:hAnsi="Arial" w:cs="Arial"/>
          <w:sz w:val="24"/>
        </w:rPr>
        <w:t xml:space="preserve"> involvement </w:t>
      </w:r>
      <w:r w:rsidR="007A67B2">
        <w:rPr>
          <w:rFonts w:ascii="Arial" w:eastAsia="Arial" w:hAnsi="Arial" w:cs="Arial"/>
          <w:sz w:val="24"/>
        </w:rPr>
        <w:t>in the</w:t>
      </w:r>
      <w:r w:rsidR="00B45F9D">
        <w:rPr>
          <w:rFonts w:ascii="Arial" w:eastAsia="Arial" w:hAnsi="Arial" w:cs="Arial"/>
          <w:sz w:val="24"/>
        </w:rPr>
        <w:t xml:space="preserve"> decision making of the </w:t>
      </w:r>
      <w:proofErr w:type="spellStart"/>
      <w:r w:rsidR="002A6D6F">
        <w:rPr>
          <w:rFonts w:ascii="Arial" w:eastAsia="Arial" w:hAnsi="Arial" w:cs="Arial"/>
          <w:sz w:val="24"/>
        </w:rPr>
        <w:t>programme</w:t>
      </w:r>
      <w:proofErr w:type="spellEnd"/>
      <w:r w:rsidR="002A6D6F">
        <w:rPr>
          <w:rFonts w:ascii="Arial" w:eastAsia="Arial" w:hAnsi="Arial" w:cs="Arial"/>
          <w:sz w:val="24"/>
        </w:rPr>
        <w:t>.</w:t>
      </w:r>
    </w:p>
    <w:p w14:paraId="33764179" w14:textId="77777777" w:rsidR="00801A5F" w:rsidRDefault="00801A5F" w:rsidP="00801A5F">
      <w:pPr>
        <w:widowControl/>
        <w:autoSpaceDE/>
        <w:autoSpaceDN/>
        <w:spacing w:before="100" w:beforeAutospacing="1" w:after="100" w:afterAutospacing="1"/>
        <w:outlineLvl w:val="2"/>
        <w:rPr>
          <w:rFonts w:ascii="Arial" w:eastAsia="Arial" w:hAnsi="Arial" w:cs="Arial"/>
          <w:b/>
          <w:bCs/>
          <w:sz w:val="24"/>
        </w:rPr>
      </w:pPr>
      <w:r w:rsidRPr="00FE4A63">
        <w:rPr>
          <w:rFonts w:ascii="Arial" w:eastAsia="Arial" w:hAnsi="Arial" w:cs="Arial"/>
          <w:b/>
          <w:bCs/>
          <w:sz w:val="24"/>
        </w:rPr>
        <w:t>Proposal</w:t>
      </w:r>
    </w:p>
    <w:p w14:paraId="5D9A1323" w14:textId="77777777" w:rsidR="00315747" w:rsidRPr="00315747" w:rsidRDefault="00315747" w:rsidP="00124A78">
      <w:pPr>
        <w:pStyle w:val="ListParagraph"/>
        <w:widowControl/>
        <w:autoSpaceDE/>
        <w:autoSpaceDN/>
        <w:spacing w:before="100" w:beforeAutospacing="1" w:after="100" w:afterAutospacing="1"/>
        <w:ind w:left="0" w:firstLine="0"/>
        <w:outlineLvl w:val="2"/>
        <w:rPr>
          <w:rFonts w:ascii="Arial" w:eastAsia="Arial" w:hAnsi="Arial" w:cs="Arial"/>
          <w:sz w:val="24"/>
        </w:rPr>
      </w:pPr>
      <w:r w:rsidRPr="00315747">
        <w:rPr>
          <w:rFonts w:ascii="Arial" w:eastAsia="Arial" w:hAnsi="Arial" w:cs="Arial"/>
          <w:sz w:val="24"/>
        </w:rPr>
        <w:t xml:space="preserve">Council </w:t>
      </w:r>
      <w:proofErr w:type="gramStart"/>
      <w:r w:rsidRPr="00315747">
        <w:rPr>
          <w:rFonts w:ascii="Arial" w:eastAsia="Arial" w:hAnsi="Arial" w:cs="Arial"/>
          <w:sz w:val="24"/>
        </w:rPr>
        <w:t>is</w:t>
      </w:r>
      <w:proofErr w:type="gramEnd"/>
      <w:r w:rsidRPr="00315747">
        <w:rPr>
          <w:rFonts w:ascii="Arial" w:eastAsia="Arial" w:hAnsi="Arial" w:cs="Arial"/>
          <w:sz w:val="24"/>
        </w:rPr>
        <w:t xml:space="preserve"> asked to approve that Macclesfield Town Council (MTC) will act as the accountable body for the Town of Culture bid in partnership with the Macclesfield Culture Collective, subject to the following conditions being met:</w:t>
      </w:r>
    </w:p>
    <w:p w14:paraId="0CD44A49" w14:textId="77777777" w:rsidR="00315747" w:rsidRPr="00315747" w:rsidRDefault="00315747" w:rsidP="00124A78">
      <w:pPr>
        <w:pStyle w:val="ListParagraph"/>
        <w:widowControl/>
        <w:numPr>
          <w:ilvl w:val="0"/>
          <w:numId w:val="10"/>
        </w:numPr>
        <w:autoSpaceDE/>
        <w:autoSpaceDN/>
        <w:spacing w:before="100" w:beforeAutospacing="1" w:after="100" w:afterAutospacing="1"/>
        <w:ind w:left="709" w:hanging="567"/>
        <w:outlineLvl w:val="2"/>
        <w:rPr>
          <w:rFonts w:ascii="Arial" w:eastAsia="Arial" w:hAnsi="Arial" w:cs="Arial"/>
          <w:sz w:val="24"/>
        </w:rPr>
      </w:pPr>
      <w:r w:rsidRPr="00315747">
        <w:rPr>
          <w:rFonts w:ascii="Arial" w:eastAsia="Arial" w:hAnsi="Arial" w:cs="Arial"/>
          <w:sz w:val="24"/>
        </w:rPr>
        <w:lastRenderedPageBreak/>
        <w:t>Full understanding of evidence requirements: The Council must have a complete understanding of the evidence required by the national government to support the bid.</w:t>
      </w:r>
    </w:p>
    <w:p w14:paraId="78A1956D" w14:textId="77777777" w:rsidR="00315747" w:rsidRPr="00315747" w:rsidRDefault="00315747" w:rsidP="00124A78">
      <w:pPr>
        <w:pStyle w:val="ListParagraph"/>
        <w:widowControl/>
        <w:numPr>
          <w:ilvl w:val="0"/>
          <w:numId w:val="10"/>
        </w:numPr>
        <w:autoSpaceDE/>
        <w:autoSpaceDN/>
        <w:spacing w:before="100" w:beforeAutospacing="1" w:after="100" w:afterAutospacing="1"/>
        <w:ind w:left="709" w:hanging="567"/>
        <w:outlineLvl w:val="2"/>
        <w:rPr>
          <w:rFonts w:ascii="Arial" w:eastAsia="Arial" w:hAnsi="Arial" w:cs="Arial"/>
          <w:sz w:val="24"/>
        </w:rPr>
      </w:pPr>
      <w:r w:rsidRPr="00315747">
        <w:rPr>
          <w:rFonts w:ascii="Arial" w:eastAsia="Arial" w:hAnsi="Arial" w:cs="Arial"/>
          <w:sz w:val="24"/>
        </w:rPr>
        <w:t>Robust partnership agreement: A clear and comprehensive agreement with Macclesfield Culture Collective must be established, defining roles, responsibilities, reporting requirements, and liabilities.</w:t>
      </w:r>
    </w:p>
    <w:p w14:paraId="7AF777BC" w14:textId="77777777" w:rsidR="00315747" w:rsidRPr="00315747" w:rsidRDefault="00315747" w:rsidP="00124A78">
      <w:pPr>
        <w:pStyle w:val="ListParagraph"/>
        <w:widowControl/>
        <w:numPr>
          <w:ilvl w:val="0"/>
          <w:numId w:val="10"/>
        </w:numPr>
        <w:autoSpaceDE/>
        <w:autoSpaceDN/>
        <w:spacing w:before="100" w:beforeAutospacing="1" w:after="100" w:afterAutospacing="1"/>
        <w:ind w:left="709" w:hanging="567"/>
        <w:outlineLvl w:val="2"/>
        <w:rPr>
          <w:rFonts w:ascii="Arial" w:eastAsia="Arial" w:hAnsi="Arial" w:cs="Arial"/>
          <w:sz w:val="24"/>
        </w:rPr>
      </w:pPr>
      <w:r w:rsidRPr="00315747">
        <w:rPr>
          <w:rFonts w:ascii="Arial" w:eastAsia="Arial" w:hAnsi="Arial" w:cs="Arial"/>
          <w:sz w:val="24"/>
        </w:rPr>
        <w:t>Full funding of project costs: All project costs for which the Council is accountable, including staffing and operational expenses, must be fully funded.</w:t>
      </w:r>
    </w:p>
    <w:p w14:paraId="1E1D8751" w14:textId="77777777" w:rsidR="00315747" w:rsidRPr="00315747" w:rsidRDefault="00315747" w:rsidP="00124A78">
      <w:pPr>
        <w:pStyle w:val="ListParagraph"/>
        <w:widowControl/>
        <w:numPr>
          <w:ilvl w:val="0"/>
          <w:numId w:val="10"/>
        </w:numPr>
        <w:autoSpaceDE/>
        <w:autoSpaceDN/>
        <w:spacing w:before="100" w:beforeAutospacing="1" w:after="100" w:afterAutospacing="1"/>
        <w:ind w:left="709" w:hanging="567"/>
        <w:outlineLvl w:val="2"/>
        <w:rPr>
          <w:rFonts w:ascii="Arial" w:eastAsia="Arial" w:hAnsi="Arial" w:cs="Arial"/>
          <w:sz w:val="24"/>
        </w:rPr>
      </w:pPr>
      <w:r w:rsidRPr="00315747">
        <w:rPr>
          <w:rFonts w:ascii="Arial" w:eastAsia="Arial" w:hAnsi="Arial" w:cs="Arial"/>
          <w:sz w:val="24"/>
        </w:rPr>
        <w:t xml:space="preserve">Council involvement in decision-making: The Council must have a defined mechanism to participate in the </w:t>
      </w:r>
      <w:proofErr w:type="spellStart"/>
      <w:r w:rsidRPr="00315747">
        <w:rPr>
          <w:rFonts w:ascii="Arial" w:eastAsia="Arial" w:hAnsi="Arial" w:cs="Arial"/>
          <w:sz w:val="24"/>
        </w:rPr>
        <w:t>programme’s</w:t>
      </w:r>
      <w:proofErr w:type="spellEnd"/>
      <w:r w:rsidRPr="00315747">
        <w:rPr>
          <w:rFonts w:ascii="Arial" w:eastAsia="Arial" w:hAnsi="Arial" w:cs="Arial"/>
          <w:sz w:val="24"/>
        </w:rPr>
        <w:t xml:space="preserve"> decision-making processes.</w:t>
      </w:r>
    </w:p>
    <w:p w14:paraId="4DDE92D4" w14:textId="4DF2E22B" w:rsidR="00234192" w:rsidRPr="00234192" w:rsidRDefault="00315747" w:rsidP="00124A78">
      <w:pPr>
        <w:pStyle w:val="ListParagraph"/>
        <w:widowControl/>
        <w:autoSpaceDE/>
        <w:autoSpaceDN/>
        <w:spacing w:before="100" w:beforeAutospacing="1" w:after="100" w:afterAutospacing="1"/>
        <w:ind w:left="0" w:firstLine="0"/>
        <w:outlineLvl w:val="2"/>
        <w:rPr>
          <w:rFonts w:ascii="Arial" w:eastAsia="Arial" w:hAnsi="Arial" w:cs="Arial"/>
          <w:sz w:val="24"/>
        </w:rPr>
      </w:pPr>
      <w:r w:rsidRPr="00315747">
        <w:rPr>
          <w:rFonts w:ascii="Arial" w:eastAsia="Arial" w:hAnsi="Arial" w:cs="Arial"/>
          <w:sz w:val="24"/>
        </w:rPr>
        <w:t>Approval on this basis allows MTC to proceed with the Town of Culture bid while ensuring proper governance, risk management, and financial safeguards.</w:t>
      </w:r>
    </w:p>
    <w:sectPr w:rsidR="00234192" w:rsidRPr="00234192">
      <w:headerReference w:type="default" r:id="rId10"/>
      <w:pgSz w:w="11910" w:h="16840"/>
      <w:pgMar w:top="1420" w:right="1417" w:bottom="600" w:left="1417" w:header="0" w:footer="4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E0236" w14:textId="77777777" w:rsidR="0022001E" w:rsidRDefault="0022001E">
      <w:r>
        <w:separator/>
      </w:r>
    </w:p>
  </w:endnote>
  <w:endnote w:type="continuationSeparator" w:id="0">
    <w:p w14:paraId="6CA12007" w14:textId="77777777" w:rsidR="0022001E" w:rsidRDefault="00220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EF6C6" w14:textId="77777777" w:rsidR="0022001E" w:rsidRDefault="0022001E">
      <w:r>
        <w:separator/>
      </w:r>
    </w:p>
  </w:footnote>
  <w:footnote w:type="continuationSeparator" w:id="0">
    <w:p w14:paraId="04FA1AC3" w14:textId="77777777" w:rsidR="0022001E" w:rsidRDefault="00220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B7D07" w14:textId="77777777" w:rsidR="00014B41" w:rsidRDefault="00014B41">
    <w:pPr>
      <w:pStyle w:val="Header"/>
    </w:pPr>
  </w:p>
  <w:p w14:paraId="07CCCFC3" w14:textId="77777777" w:rsidR="00014B41" w:rsidRDefault="00014B41" w:rsidP="00014B41">
    <w:pPr>
      <w:pStyle w:val="Header"/>
      <w:jc w:val="right"/>
      <w:rPr>
        <w:rFonts w:ascii="Arial" w:hAnsi="Arial" w:cs="Arial"/>
        <w:sz w:val="20"/>
        <w:szCs w:val="20"/>
      </w:rPr>
    </w:pPr>
  </w:p>
  <w:p w14:paraId="71C4C3CC" w14:textId="0FC97B81" w:rsidR="00014B41" w:rsidRPr="00014B41" w:rsidRDefault="00EC1E45" w:rsidP="00014B41">
    <w:pPr>
      <w:pStyle w:val="Header"/>
      <w:jc w:val="right"/>
      <w:rPr>
        <w:rFonts w:ascii="Arial" w:hAnsi="Arial" w:cs="Arial"/>
        <w:sz w:val="20"/>
        <w:szCs w:val="20"/>
      </w:rPr>
    </w:pPr>
    <w:r>
      <w:rPr>
        <w:rFonts w:ascii="Arial" w:hAnsi="Arial" w:cs="Arial"/>
        <w:sz w:val="20"/>
        <w:szCs w:val="20"/>
      </w:rPr>
      <w:t xml:space="preserve">Full Council </w:t>
    </w:r>
    <w:r w:rsidR="00E84323">
      <w:rPr>
        <w:rFonts w:ascii="Arial" w:hAnsi="Arial" w:cs="Arial"/>
        <w:sz w:val="20"/>
        <w:szCs w:val="20"/>
      </w:rPr>
      <w:t xml:space="preserve">02 02 26 </w:t>
    </w:r>
    <w:r w:rsidR="00014B41" w:rsidRPr="00014B41">
      <w:rPr>
        <w:rFonts w:ascii="Arial" w:hAnsi="Arial" w:cs="Arial"/>
        <w:sz w:val="20"/>
        <w:szCs w:val="20"/>
      </w:rPr>
      <w:t>Agenda Item</w:t>
    </w:r>
    <w:r w:rsidR="00E84323">
      <w:rPr>
        <w:rFonts w:ascii="Arial" w:hAnsi="Arial" w:cs="Arial"/>
        <w:sz w:val="20"/>
        <w:szCs w:val="20"/>
      </w:rPr>
      <w:t xml:space="preserve">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6598D"/>
    <w:multiLevelType w:val="hybridMultilevel"/>
    <w:tmpl w:val="A0A68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C52AAA"/>
    <w:multiLevelType w:val="hybridMultilevel"/>
    <w:tmpl w:val="D408F57C"/>
    <w:lvl w:ilvl="0" w:tplc="3B4ADE8A">
      <w:start w:val="13"/>
      <w:numFmt w:val="decimal"/>
      <w:lvlText w:val="%1."/>
      <w:lvlJc w:val="left"/>
      <w:pPr>
        <w:ind w:left="568" w:hanging="404"/>
      </w:pPr>
      <w:rPr>
        <w:rFonts w:ascii="Arial" w:eastAsia="Arial" w:hAnsi="Arial" w:cs="Arial" w:hint="default"/>
        <w:b w:val="0"/>
        <w:bCs w:val="0"/>
        <w:i w:val="0"/>
        <w:iCs w:val="0"/>
        <w:spacing w:val="0"/>
        <w:w w:val="100"/>
        <w:sz w:val="24"/>
        <w:szCs w:val="24"/>
        <w:lang w:val="en-US" w:eastAsia="en-US" w:bidi="ar-SA"/>
      </w:rPr>
    </w:lvl>
    <w:lvl w:ilvl="1" w:tplc="E66070D6">
      <w:numFmt w:val="bullet"/>
      <w:lvlText w:val=""/>
      <w:lvlJc w:val="left"/>
      <w:pPr>
        <w:ind w:left="777" w:hanging="356"/>
      </w:pPr>
      <w:rPr>
        <w:rFonts w:ascii="Symbol" w:eastAsia="Symbol" w:hAnsi="Symbol" w:cs="Symbol" w:hint="default"/>
        <w:b w:val="0"/>
        <w:bCs w:val="0"/>
        <w:i w:val="0"/>
        <w:iCs w:val="0"/>
        <w:spacing w:val="0"/>
        <w:w w:val="99"/>
        <w:sz w:val="20"/>
        <w:szCs w:val="20"/>
        <w:lang w:val="en-US" w:eastAsia="en-US" w:bidi="ar-SA"/>
      </w:rPr>
    </w:lvl>
    <w:lvl w:ilvl="2" w:tplc="2CA2BB60">
      <w:numFmt w:val="bullet"/>
      <w:lvlText w:val="•"/>
      <w:lvlJc w:val="left"/>
      <w:pPr>
        <w:ind w:left="1717" w:hanging="356"/>
      </w:pPr>
      <w:rPr>
        <w:rFonts w:hint="default"/>
        <w:lang w:val="en-US" w:eastAsia="en-US" w:bidi="ar-SA"/>
      </w:rPr>
    </w:lvl>
    <w:lvl w:ilvl="3" w:tplc="D9ECDA8A">
      <w:numFmt w:val="bullet"/>
      <w:lvlText w:val="•"/>
      <w:lvlJc w:val="left"/>
      <w:pPr>
        <w:ind w:left="2655" w:hanging="356"/>
      </w:pPr>
      <w:rPr>
        <w:rFonts w:hint="default"/>
        <w:lang w:val="en-US" w:eastAsia="en-US" w:bidi="ar-SA"/>
      </w:rPr>
    </w:lvl>
    <w:lvl w:ilvl="4" w:tplc="7D0A6E78">
      <w:numFmt w:val="bullet"/>
      <w:lvlText w:val="•"/>
      <w:lvlJc w:val="left"/>
      <w:pPr>
        <w:ind w:left="3593" w:hanging="356"/>
      </w:pPr>
      <w:rPr>
        <w:rFonts w:hint="default"/>
        <w:lang w:val="en-US" w:eastAsia="en-US" w:bidi="ar-SA"/>
      </w:rPr>
    </w:lvl>
    <w:lvl w:ilvl="5" w:tplc="49FE0B4A">
      <w:numFmt w:val="bullet"/>
      <w:lvlText w:val="•"/>
      <w:lvlJc w:val="left"/>
      <w:pPr>
        <w:ind w:left="4530" w:hanging="356"/>
      </w:pPr>
      <w:rPr>
        <w:rFonts w:hint="default"/>
        <w:lang w:val="en-US" w:eastAsia="en-US" w:bidi="ar-SA"/>
      </w:rPr>
    </w:lvl>
    <w:lvl w:ilvl="6" w:tplc="59D6F7A2">
      <w:numFmt w:val="bullet"/>
      <w:lvlText w:val="•"/>
      <w:lvlJc w:val="left"/>
      <w:pPr>
        <w:ind w:left="5468" w:hanging="356"/>
      </w:pPr>
      <w:rPr>
        <w:rFonts w:hint="default"/>
        <w:lang w:val="en-US" w:eastAsia="en-US" w:bidi="ar-SA"/>
      </w:rPr>
    </w:lvl>
    <w:lvl w:ilvl="7" w:tplc="984AB72A">
      <w:numFmt w:val="bullet"/>
      <w:lvlText w:val="•"/>
      <w:lvlJc w:val="left"/>
      <w:pPr>
        <w:ind w:left="6406" w:hanging="356"/>
      </w:pPr>
      <w:rPr>
        <w:rFonts w:hint="default"/>
        <w:lang w:val="en-US" w:eastAsia="en-US" w:bidi="ar-SA"/>
      </w:rPr>
    </w:lvl>
    <w:lvl w:ilvl="8" w:tplc="3E70AFA0">
      <w:numFmt w:val="bullet"/>
      <w:lvlText w:val="•"/>
      <w:lvlJc w:val="left"/>
      <w:pPr>
        <w:ind w:left="7343" w:hanging="356"/>
      </w:pPr>
      <w:rPr>
        <w:rFonts w:hint="default"/>
        <w:lang w:val="en-US" w:eastAsia="en-US" w:bidi="ar-SA"/>
      </w:rPr>
    </w:lvl>
  </w:abstractNum>
  <w:abstractNum w:abstractNumId="2" w15:restartNumberingAfterBreak="0">
    <w:nsid w:val="180A6BC6"/>
    <w:multiLevelType w:val="hybridMultilevel"/>
    <w:tmpl w:val="BFD27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962D34"/>
    <w:multiLevelType w:val="hybridMultilevel"/>
    <w:tmpl w:val="CD78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A45E5B"/>
    <w:multiLevelType w:val="hybridMultilevel"/>
    <w:tmpl w:val="1BF84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3B3A22"/>
    <w:multiLevelType w:val="hybridMultilevel"/>
    <w:tmpl w:val="CFD817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6812BE3"/>
    <w:multiLevelType w:val="hybridMultilevel"/>
    <w:tmpl w:val="D1BCA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CD3C73"/>
    <w:multiLevelType w:val="hybridMultilevel"/>
    <w:tmpl w:val="70BA23FC"/>
    <w:lvl w:ilvl="0" w:tplc="E6A838AA">
      <w:numFmt w:val="bullet"/>
      <w:lvlText w:val=""/>
      <w:lvlJc w:val="left"/>
      <w:pPr>
        <w:ind w:left="743" w:hanging="360"/>
      </w:pPr>
      <w:rPr>
        <w:rFonts w:ascii="Symbol" w:eastAsia="Symbol" w:hAnsi="Symbol" w:cs="Symbol" w:hint="default"/>
        <w:b w:val="0"/>
        <w:bCs w:val="0"/>
        <w:i w:val="0"/>
        <w:iCs w:val="0"/>
        <w:spacing w:val="0"/>
        <w:w w:val="100"/>
        <w:sz w:val="24"/>
        <w:szCs w:val="24"/>
        <w:lang w:val="en-US" w:eastAsia="en-US" w:bidi="ar-SA"/>
      </w:rPr>
    </w:lvl>
    <w:lvl w:ilvl="1" w:tplc="33D27B48">
      <w:numFmt w:val="bullet"/>
      <w:lvlText w:val="•"/>
      <w:lvlJc w:val="left"/>
      <w:pPr>
        <w:ind w:left="1573" w:hanging="360"/>
      </w:pPr>
      <w:rPr>
        <w:rFonts w:hint="default"/>
        <w:lang w:val="en-US" w:eastAsia="en-US" w:bidi="ar-SA"/>
      </w:rPr>
    </w:lvl>
    <w:lvl w:ilvl="2" w:tplc="F19C6FCE">
      <w:numFmt w:val="bullet"/>
      <w:lvlText w:val="•"/>
      <w:lvlJc w:val="left"/>
      <w:pPr>
        <w:ind w:left="2406" w:hanging="360"/>
      </w:pPr>
      <w:rPr>
        <w:rFonts w:hint="default"/>
        <w:lang w:val="en-US" w:eastAsia="en-US" w:bidi="ar-SA"/>
      </w:rPr>
    </w:lvl>
    <w:lvl w:ilvl="3" w:tplc="A35464B0">
      <w:numFmt w:val="bullet"/>
      <w:lvlText w:val="•"/>
      <w:lvlJc w:val="left"/>
      <w:pPr>
        <w:ind w:left="3239" w:hanging="360"/>
      </w:pPr>
      <w:rPr>
        <w:rFonts w:hint="default"/>
        <w:lang w:val="en-US" w:eastAsia="en-US" w:bidi="ar-SA"/>
      </w:rPr>
    </w:lvl>
    <w:lvl w:ilvl="4" w:tplc="30103F60">
      <w:numFmt w:val="bullet"/>
      <w:lvlText w:val="•"/>
      <w:lvlJc w:val="left"/>
      <w:pPr>
        <w:ind w:left="4072" w:hanging="360"/>
      </w:pPr>
      <w:rPr>
        <w:rFonts w:hint="default"/>
        <w:lang w:val="en-US" w:eastAsia="en-US" w:bidi="ar-SA"/>
      </w:rPr>
    </w:lvl>
    <w:lvl w:ilvl="5" w:tplc="AAB455A4">
      <w:numFmt w:val="bullet"/>
      <w:lvlText w:val="•"/>
      <w:lvlJc w:val="left"/>
      <w:pPr>
        <w:ind w:left="4906" w:hanging="360"/>
      </w:pPr>
      <w:rPr>
        <w:rFonts w:hint="default"/>
        <w:lang w:val="en-US" w:eastAsia="en-US" w:bidi="ar-SA"/>
      </w:rPr>
    </w:lvl>
    <w:lvl w:ilvl="6" w:tplc="055AB6BE">
      <w:numFmt w:val="bullet"/>
      <w:lvlText w:val="•"/>
      <w:lvlJc w:val="left"/>
      <w:pPr>
        <w:ind w:left="5739" w:hanging="360"/>
      </w:pPr>
      <w:rPr>
        <w:rFonts w:hint="default"/>
        <w:lang w:val="en-US" w:eastAsia="en-US" w:bidi="ar-SA"/>
      </w:rPr>
    </w:lvl>
    <w:lvl w:ilvl="7" w:tplc="32042020">
      <w:numFmt w:val="bullet"/>
      <w:lvlText w:val="•"/>
      <w:lvlJc w:val="left"/>
      <w:pPr>
        <w:ind w:left="6572" w:hanging="360"/>
      </w:pPr>
      <w:rPr>
        <w:rFonts w:hint="default"/>
        <w:lang w:val="en-US" w:eastAsia="en-US" w:bidi="ar-SA"/>
      </w:rPr>
    </w:lvl>
    <w:lvl w:ilvl="8" w:tplc="E182EFE8">
      <w:numFmt w:val="bullet"/>
      <w:lvlText w:val="•"/>
      <w:lvlJc w:val="left"/>
      <w:pPr>
        <w:ind w:left="7405" w:hanging="360"/>
      </w:pPr>
      <w:rPr>
        <w:rFonts w:hint="default"/>
        <w:lang w:val="en-US" w:eastAsia="en-US" w:bidi="ar-SA"/>
      </w:rPr>
    </w:lvl>
  </w:abstractNum>
  <w:abstractNum w:abstractNumId="8" w15:restartNumberingAfterBreak="0">
    <w:nsid w:val="6BAF6171"/>
    <w:multiLevelType w:val="hybridMultilevel"/>
    <w:tmpl w:val="CEE0F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0A767E"/>
    <w:multiLevelType w:val="hybridMultilevel"/>
    <w:tmpl w:val="1EA2ABBC"/>
    <w:lvl w:ilvl="0" w:tplc="BED45628">
      <w:numFmt w:val="bullet"/>
      <w:lvlText w:val=""/>
      <w:lvlJc w:val="left"/>
      <w:pPr>
        <w:ind w:left="1463" w:hanging="360"/>
      </w:pPr>
      <w:rPr>
        <w:rFonts w:ascii="Symbol" w:eastAsia="Symbol" w:hAnsi="Symbol" w:cs="Symbol" w:hint="default"/>
        <w:b w:val="0"/>
        <w:bCs w:val="0"/>
        <w:i w:val="0"/>
        <w:iCs w:val="0"/>
        <w:spacing w:val="0"/>
        <w:w w:val="99"/>
        <w:sz w:val="20"/>
        <w:szCs w:val="20"/>
        <w:lang w:val="en-US" w:eastAsia="en-US" w:bidi="ar-SA"/>
      </w:rPr>
    </w:lvl>
    <w:lvl w:ilvl="1" w:tplc="C4FEDE2E">
      <w:numFmt w:val="bullet"/>
      <w:lvlText w:val="•"/>
      <w:lvlJc w:val="left"/>
      <w:pPr>
        <w:ind w:left="2221" w:hanging="360"/>
      </w:pPr>
      <w:rPr>
        <w:rFonts w:hint="default"/>
        <w:lang w:val="en-US" w:eastAsia="en-US" w:bidi="ar-SA"/>
      </w:rPr>
    </w:lvl>
    <w:lvl w:ilvl="2" w:tplc="37B8182A">
      <w:numFmt w:val="bullet"/>
      <w:lvlText w:val="•"/>
      <w:lvlJc w:val="left"/>
      <w:pPr>
        <w:ind w:left="2982" w:hanging="360"/>
      </w:pPr>
      <w:rPr>
        <w:rFonts w:hint="default"/>
        <w:lang w:val="en-US" w:eastAsia="en-US" w:bidi="ar-SA"/>
      </w:rPr>
    </w:lvl>
    <w:lvl w:ilvl="3" w:tplc="5B764998">
      <w:numFmt w:val="bullet"/>
      <w:lvlText w:val="•"/>
      <w:lvlJc w:val="left"/>
      <w:pPr>
        <w:ind w:left="3743" w:hanging="360"/>
      </w:pPr>
      <w:rPr>
        <w:rFonts w:hint="default"/>
        <w:lang w:val="en-US" w:eastAsia="en-US" w:bidi="ar-SA"/>
      </w:rPr>
    </w:lvl>
    <w:lvl w:ilvl="4" w:tplc="C2EA3444">
      <w:numFmt w:val="bullet"/>
      <w:lvlText w:val="•"/>
      <w:lvlJc w:val="left"/>
      <w:pPr>
        <w:ind w:left="4504" w:hanging="360"/>
      </w:pPr>
      <w:rPr>
        <w:rFonts w:hint="default"/>
        <w:lang w:val="en-US" w:eastAsia="en-US" w:bidi="ar-SA"/>
      </w:rPr>
    </w:lvl>
    <w:lvl w:ilvl="5" w:tplc="670A5E9E">
      <w:numFmt w:val="bullet"/>
      <w:lvlText w:val="•"/>
      <w:lvlJc w:val="left"/>
      <w:pPr>
        <w:ind w:left="5266" w:hanging="360"/>
      </w:pPr>
      <w:rPr>
        <w:rFonts w:hint="default"/>
        <w:lang w:val="en-US" w:eastAsia="en-US" w:bidi="ar-SA"/>
      </w:rPr>
    </w:lvl>
    <w:lvl w:ilvl="6" w:tplc="5DC83994">
      <w:numFmt w:val="bullet"/>
      <w:lvlText w:val="•"/>
      <w:lvlJc w:val="left"/>
      <w:pPr>
        <w:ind w:left="6027" w:hanging="360"/>
      </w:pPr>
      <w:rPr>
        <w:rFonts w:hint="default"/>
        <w:lang w:val="en-US" w:eastAsia="en-US" w:bidi="ar-SA"/>
      </w:rPr>
    </w:lvl>
    <w:lvl w:ilvl="7" w:tplc="3CE6B664">
      <w:numFmt w:val="bullet"/>
      <w:lvlText w:val="•"/>
      <w:lvlJc w:val="left"/>
      <w:pPr>
        <w:ind w:left="6788" w:hanging="360"/>
      </w:pPr>
      <w:rPr>
        <w:rFonts w:hint="default"/>
        <w:lang w:val="en-US" w:eastAsia="en-US" w:bidi="ar-SA"/>
      </w:rPr>
    </w:lvl>
    <w:lvl w:ilvl="8" w:tplc="A35ED85C">
      <w:numFmt w:val="bullet"/>
      <w:lvlText w:val="•"/>
      <w:lvlJc w:val="left"/>
      <w:pPr>
        <w:ind w:left="7549" w:hanging="360"/>
      </w:pPr>
      <w:rPr>
        <w:rFonts w:hint="default"/>
        <w:lang w:val="en-US" w:eastAsia="en-US" w:bidi="ar-SA"/>
      </w:rPr>
    </w:lvl>
  </w:abstractNum>
  <w:num w:numId="1" w16cid:durableId="2063401297">
    <w:abstractNumId w:val="7"/>
  </w:num>
  <w:num w:numId="2" w16cid:durableId="996759620">
    <w:abstractNumId w:val="9"/>
  </w:num>
  <w:num w:numId="3" w16cid:durableId="1584340528">
    <w:abstractNumId w:val="1"/>
  </w:num>
  <w:num w:numId="4" w16cid:durableId="1213269581">
    <w:abstractNumId w:val="8"/>
  </w:num>
  <w:num w:numId="5" w16cid:durableId="252976006">
    <w:abstractNumId w:val="2"/>
  </w:num>
  <w:num w:numId="6" w16cid:durableId="270161639">
    <w:abstractNumId w:val="0"/>
  </w:num>
  <w:num w:numId="7" w16cid:durableId="1773360631">
    <w:abstractNumId w:val="4"/>
  </w:num>
  <w:num w:numId="8" w16cid:durableId="2074500975">
    <w:abstractNumId w:val="6"/>
  </w:num>
  <w:num w:numId="9" w16cid:durableId="1375621629">
    <w:abstractNumId w:val="3"/>
  </w:num>
  <w:num w:numId="10" w16cid:durableId="1125552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2F1"/>
    <w:rsid w:val="00014B41"/>
    <w:rsid w:val="00015D4F"/>
    <w:rsid w:val="0001711B"/>
    <w:rsid w:val="00031392"/>
    <w:rsid w:val="00032D7F"/>
    <w:rsid w:val="0004221D"/>
    <w:rsid w:val="0005444C"/>
    <w:rsid w:val="00072434"/>
    <w:rsid w:val="0008346E"/>
    <w:rsid w:val="0008581F"/>
    <w:rsid w:val="00087190"/>
    <w:rsid w:val="000C1A34"/>
    <w:rsid w:val="000D7B45"/>
    <w:rsid w:val="000E10C7"/>
    <w:rsid w:val="00102B0C"/>
    <w:rsid w:val="00105850"/>
    <w:rsid w:val="00112D33"/>
    <w:rsid w:val="001208BB"/>
    <w:rsid w:val="00122133"/>
    <w:rsid w:val="00124A78"/>
    <w:rsid w:val="001535B6"/>
    <w:rsid w:val="00154D2A"/>
    <w:rsid w:val="00161488"/>
    <w:rsid w:val="00174FAC"/>
    <w:rsid w:val="00175D5F"/>
    <w:rsid w:val="00177CBE"/>
    <w:rsid w:val="001806B5"/>
    <w:rsid w:val="001840C9"/>
    <w:rsid w:val="00184FB8"/>
    <w:rsid w:val="00197380"/>
    <w:rsid w:val="001A37EA"/>
    <w:rsid w:val="001D1D5F"/>
    <w:rsid w:val="001E017E"/>
    <w:rsid w:val="001F6CEA"/>
    <w:rsid w:val="002075F8"/>
    <w:rsid w:val="0022001E"/>
    <w:rsid w:val="00222EB5"/>
    <w:rsid w:val="00234192"/>
    <w:rsid w:val="00235367"/>
    <w:rsid w:val="00245B9F"/>
    <w:rsid w:val="002513AD"/>
    <w:rsid w:val="00270C43"/>
    <w:rsid w:val="00271EA4"/>
    <w:rsid w:val="002A6D6F"/>
    <w:rsid w:val="002B1283"/>
    <w:rsid w:val="002B1AF2"/>
    <w:rsid w:val="002B723A"/>
    <w:rsid w:val="002C2A7E"/>
    <w:rsid w:val="002D2295"/>
    <w:rsid w:val="002D2EF5"/>
    <w:rsid w:val="002D375E"/>
    <w:rsid w:val="002E0308"/>
    <w:rsid w:val="002E0714"/>
    <w:rsid w:val="002F735D"/>
    <w:rsid w:val="00315747"/>
    <w:rsid w:val="0032067F"/>
    <w:rsid w:val="003231B7"/>
    <w:rsid w:val="00325729"/>
    <w:rsid w:val="00360227"/>
    <w:rsid w:val="003609CB"/>
    <w:rsid w:val="00363B8D"/>
    <w:rsid w:val="00376DC4"/>
    <w:rsid w:val="00380F9A"/>
    <w:rsid w:val="003862E1"/>
    <w:rsid w:val="00396384"/>
    <w:rsid w:val="003D6CDB"/>
    <w:rsid w:val="003F7609"/>
    <w:rsid w:val="00405362"/>
    <w:rsid w:val="00407A31"/>
    <w:rsid w:val="0042388C"/>
    <w:rsid w:val="00440DC4"/>
    <w:rsid w:val="00442D75"/>
    <w:rsid w:val="00445A12"/>
    <w:rsid w:val="00450408"/>
    <w:rsid w:val="004709F8"/>
    <w:rsid w:val="004C549D"/>
    <w:rsid w:val="004C5C90"/>
    <w:rsid w:val="00522F23"/>
    <w:rsid w:val="005614EB"/>
    <w:rsid w:val="005617FB"/>
    <w:rsid w:val="00593433"/>
    <w:rsid w:val="00593D5E"/>
    <w:rsid w:val="005942EA"/>
    <w:rsid w:val="005A2875"/>
    <w:rsid w:val="005B232E"/>
    <w:rsid w:val="005B31E8"/>
    <w:rsid w:val="005B4282"/>
    <w:rsid w:val="005D07D3"/>
    <w:rsid w:val="00601B14"/>
    <w:rsid w:val="006864D2"/>
    <w:rsid w:val="006A4C1E"/>
    <w:rsid w:val="006A52B9"/>
    <w:rsid w:val="006C48AE"/>
    <w:rsid w:val="006F44E8"/>
    <w:rsid w:val="00710FB9"/>
    <w:rsid w:val="0073222F"/>
    <w:rsid w:val="00734872"/>
    <w:rsid w:val="00741C81"/>
    <w:rsid w:val="00771002"/>
    <w:rsid w:val="00774B04"/>
    <w:rsid w:val="007A67B2"/>
    <w:rsid w:val="007C1D24"/>
    <w:rsid w:val="00801A5F"/>
    <w:rsid w:val="00864FE1"/>
    <w:rsid w:val="00865475"/>
    <w:rsid w:val="008717DA"/>
    <w:rsid w:val="0087599F"/>
    <w:rsid w:val="00886D79"/>
    <w:rsid w:val="008A44CF"/>
    <w:rsid w:val="008A6033"/>
    <w:rsid w:val="008D5D3B"/>
    <w:rsid w:val="008F1C01"/>
    <w:rsid w:val="008F7AF7"/>
    <w:rsid w:val="00913DB5"/>
    <w:rsid w:val="00925C1C"/>
    <w:rsid w:val="00931EBC"/>
    <w:rsid w:val="00947A42"/>
    <w:rsid w:val="00950F69"/>
    <w:rsid w:val="009527C7"/>
    <w:rsid w:val="00961143"/>
    <w:rsid w:val="00970A9D"/>
    <w:rsid w:val="00984879"/>
    <w:rsid w:val="009859F1"/>
    <w:rsid w:val="0099074D"/>
    <w:rsid w:val="009916C1"/>
    <w:rsid w:val="009A62CB"/>
    <w:rsid w:val="009C0265"/>
    <w:rsid w:val="009C1590"/>
    <w:rsid w:val="009C5755"/>
    <w:rsid w:val="009C712A"/>
    <w:rsid w:val="009E23C0"/>
    <w:rsid w:val="009F4EED"/>
    <w:rsid w:val="009F638F"/>
    <w:rsid w:val="00A4076B"/>
    <w:rsid w:val="00A44119"/>
    <w:rsid w:val="00A60FC9"/>
    <w:rsid w:val="00AA04B8"/>
    <w:rsid w:val="00AB63D0"/>
    <w:rsid w:val="00AC208A"/>
    <w:rsid w:val="00B052A0"/>
    <w:rsid w:val="00B069BB"/>
    <w:rsid w:val="00B26C4B"/>
    <w:rsid w:val="00B45F9D"/>
    <w:rsid w:val="00B46622"/>
    <w:rsid w:val="00B73415"/>
    <w:rsid w:val="00B9351E"/>
    <w:rsid w:val="00BA1E68"/>
    <w:rsid w:val="00BA3C87"/>
    <w:rsid w:val="00BB180E"/>
    <w:rsid w:val="00BC409C"/>
    <w:rsid w:val="00BC4AF3"/>
    <w:rsid w:val="00BE4056"/>
    <w:rsid w:val="00BF5C69"/>
    <w:rsid w:val="00C00271"/>
    <w:rsid w:val="00C04D27"/>
    <w:rsid w:val="00C07AAD"/>
    <w:rsid w:val="00C134C1"/>
    <w:rsid w:val="00C14EE3"/>
    <w:rsid w:val="00C161D9"/>
    <w:rsid w:val="00C2361F"/>
    <w:rsid w:val="00C27EDF"/>
    <w:rsid w:val="00C62A3B"/>
    <w:rsid w:val="00C90F79"/>
    <w:rsid w:val="00C911AB"/>
    <w:rsid w:val="00C916E0"/>
    <w:rsid w:val="00CA084C"/>
    <w:rsid w:val="00CA5D63"/>
    <w:rsid w:val="00CE1AA5"/>
    <w:rsid w:val="00CF001E"/>
    <w:rsid w:val="00CF7867"/>
    <w:rsid w:val="00D15509"/>
    <w:rsid w:val="00D3031E"/>
    <w:rsid w:val="00D46EDA"/>
    <w:rsid w:val="00D539CC"/>
    <w:rsid w:val="00D67097"/>
    <w:rsid w:val="00D762F1"/>
    <w:rsid w:val="00D925B8"/>
    <w:rsid w:val="00DA32DC"/>
    <w:rsid w:val="00DA7564"/>
    <w:rsid w:val="00E00101"/>
    <w:rsid w:val="00E37A84"/>
    <w:rsid w:val="00E41FF8"/>
    <w:rsid w:val="00E540F2"/>
    <w:rsid w:val="00E75E5B"/>
    <w:rsid w:val="00E84323"/>
    <w:rsid w:val="00E8454B"/>
    <w:rsid w:val="00EA633A"/>
    <w:rsid w:val="00EB0A05"/>
    <w:rsid w:val="00EC0C4C"/>
    <w:rsid w:val="00EC1B72"/>
    <w:rsid w:val="00EC1E45"/>
    <w:rsid w:val="00F05EED"/>
    <w:rsid w:val="00F10321"/>
    <w:rsid w:val="00F21206"/>
    <w:rsid w:val="00F3312A"/>
    <w:rsid w:val="00F67C97"/>
    <w:rsid w:val="00F768F6"/>
    <w:rsid w:val="00F91984"/>
    <w:rsid w:val="00F95E30"/>
    <w:rsid w:val="00FA1F7F"/>
    <w:rsid w:val="00FC1557"/>
    <w:rsid w:val="00FC41E9"/>
    <w:rsid w:val="00FC5B0C"/>
    <w:rsid w:val="00FE4A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E53B4"/>
  <w15:docId w15:val="{723A833E-AB05-4779-897C-AAB09C51A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
      <w:ind w:right="1"/>
      <w:jc w:val="center"/>
      <w:outlineLvl w:val="0"/>
    </w:pPr>
    <w:rPr>
      <w:b/>
      <w:bCs/>
      <w:sz w:val="36"/>
      <w:szCs w:val="36"/>
    </w:rPr>
  </w:style>
  <w:style w:type="paragraph" w:styleId="Heading2">
    <w:name w:val="heading 2"/>
    <w:basedOn w:val="Normal"/>
    <w:uiPriority w:val="9"/>
    <w:unhideWhenUsed/>
    <w:qFormat/>
    <w:pPr>
      <w:spacing w:before="206"/>
      <w:ind w:left="23"/>
      <w:outlineLvl w:val="1"/>
    </w:pPr>
    <w:rPr>
      <w:b/>
      <w:bCs/>
      <w:sz w:val="24"/>
      <w:szCs w:val="24"/>
    </w:rPr>
  </w:style>
  <w:style w:type="paragraph" w:styleId="Heading3">
    <w:name w:val="heading 3"/>
    <w:basedOn w:val="Normal"/>
    <w:next w:val="Normal"/>
    <w:link w:val="Heading3Char"/>
    <w:uiPriority w:val="9"/>
    <w:semiHidden/>
    <w:unhideWhenUsed/>
    <w:qFormat/>
    <w:rsid w:val="00801A5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06"/>
      <w:ind w:left="1463"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67097"/>
    <w:pPr>
      <w:tabs>
        <w:tab w:val="center" w:pos="4513"/>
        <w:tab w:val="right" w:pos="9026"/>
      </w:tabs>
    </w:pPr>
  </w:style>
  <w:style w:type="character" w:customStyle="1" w:styleId="HeaderChar">
    <w:name w:val="Header Char"/>
    <w:basedOn w:val="DefaultParagraphFont"/>
    <w:link w:val="Header"/>
    <w:uiPriority w:val="99"/>
    <w:rsid w:val="00D67097"/>
    <w:rPr>
      <w:rFonts w:ascii="Calibri" w:eastAsia="Calibri" w:hAnsi="Calibri" w:cs="Calibri"/>
    </w:rPr>
  </w:style>
  <w:style w:type="paragraph" w:styleId="Footer">
    <w:name w:val="footer"/>
    <w:basedOn w:val="Normal"/>
    <w:link w:val="FooterChar"/>
    <w:uiPriority w:val="99"/>
    <w:unhideWhenUsed/>
    <w:rsid w:val="00D67097"/>
    <w:pPr>
      <w:tabs>
        <w:tab w:val="center" w:pos="4513"/>
        <w:tab w:val="right" w:pos="9026"/>
      </w:tabs>
    </w:pPr>
  </w:style>
  <w:style w:type="character" w:customStyle="1" w:styleId="FooterChar">
    <w:name w:val="Footer Char"/>
    <w:basedOn w:val="DefaultParagraphFont"/>
    <w:link w:val="Footer"/>
    <w:uiPriority w:val="99"/>
    <w:rsid w:val="00D67097"/>
    <w:rPr>
      <w:rFonts w:ascii="Calibri" w:eastAsia="Calibri" w:hAnsi="Calibri" w:cs="Calibri"/>
    </w:rPr>
  </w:style>
  <w:style w:type="character" w:customStyle="1" w:styleId="Heading3Char">
    <w:name w:val="Heading 3 Char"/>
    <w:basedOn w:val="DefaultParagraphFont"/>
    <w:link w:val="Heading3"/>
    <w:uiPriority w:val="9"/>
    <w:semiHidden/>
    <w:rsid w:val="00801A5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66A6C84246D84B80A33437BEBF7A49" ma:contentTypeVersion="18" ma:contentTypeDescription="Create a new document." ma:contentTypeScope="" ma:versionID="b104ea1edcec2f62294dedd9cabdc0b2">
  <xsd:schema xmlns:xsd="http://www.w3.org/2001/XMLSchema" xmlns:xs="http://www.w3.org/2001/XMLSchema" xmlns:p="http://schemas.microsoft.com/office/2006/metadata/properties" xmlns:ns2="2497c14e-ee0a-42b5-b694-b9cd328f163d" xmlns:ns3="e8fc14bb-fad7-4191-88ca-569b38c3d916" targetNamespace="http://schemas.microsoft.com/office/2006/metadata/properties" ma:root="true" ma:fieldsID="039e3e7a9be038ee260b5fed6d9daf17" ns2:_="" ns3:_="">
    <xsd:import namespace="2497c14e-ee0a-42b5-b694-b9cd328f163d"/>
    <xsd:import namespace="e8fc14bb-fad7-4191-88ca-569b38c3d9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7c14e-ee0a-42b5-b694-b9cd328f1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fb3af4-9408-4c10-bc7b-03b8fc5a8d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fc14bb-fad7-4191-88ca-569b38c3d9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9e384f-c908-4f87-8904-d20f74022488}" ma:internalName="TaxCatchAll" ma:showField="CatchAllData" ma:web="e8fc14bb-fad7-4191-88ca-569b38c3d9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97c14e-ee0a-42b5-b694-b9cd328f163d">
      <Terms xmlns="http://schemas.microsoft.com/office/infopath/2007/PartnerControls"/>
    </lcf76f155ced4ddcb4097134ff3c332f>
    <TaxCatchAll xmlns="e8fc14bb-fad7-4191-88ca-569b38c3d916" xsi:nil="true"/>
  </documentManagement>
</p:properties>
</file>

<file path=customXml/itemProps1.xml><?xml version="1.0" encoding="utf-8"?>
<ds:datastoreItem xmlns:ds="http://schemas.openxmlformats.org/officeDocument/2006/customXml" ds:itemID="{AFB221D9-7E9B-4E3D-A949-ADC938A9DB47}">
  <ds:schemaRefs>
    <ds:schemaRef ds:uri="http://schemas.microsoft.com/sharepoint/v3/contenttype/forms"/>
  </ds:schemaRefs>
</ds:datastoreItem>
</file>

<file path=customXml/itemProps2.xml><?xml version="1.0" encoding="utf-8"?>
<ds:datastoreItem xmlns:ds="http://schemas.openxmlformats.org/officeDocument/2006/customXml" ds:itemID="{F99AB39C-0C58-4488-A649-67E987B97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97c14e-ee0a-42b5-b694-b9cd328f163d"/>
    <ds:schemaRef ds:uri="e8fc14bb-fad7-4191-88ca-569b38c3d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B213A0-43E4-49E7-ACA1-1E263B665692}">
  <ds:schemaRefs>
    <ds:schemaRef ds:uri="http://schemas.microsoft.com/office/2006/metadata/properties"/>
    <ds:schemaRef ds:uri="http://schemas.microsoft.com/office/infopath/2007/PartnerControls"/>
    <ds:schemaRef ds:uri="2497c14e-ee0a-42b5-b694-b9cd328f163d"/>
    <ds:schemaRef ds:uri="e8fc14bb-fad7-4191-88ca-569b38c3d91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2905</Characters>
  <Application>Microsoft Office Word</Application>
  <DocSecurity>0</DocSecurity>
  <Lines>83</Lines>
  <Paragraphs>41</Paragraphs>
  <ScaleCrop>false</ScaleCrop>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MORTON, Tim</dc:creator>
  <cp:lastModifiedBy>Laura Smith</cp:lastModifiedBy>
  <cp:revision>2</cp:revision>
  <dcterms:created xsi:type="dcterms:W3CDTF">2026-01-26T23:18:00Z</dcterms:created>
  <dcterms:modified xsi:type="dcterms:W3CDTF">2026-01-26T23:18:00Z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2025-07-18T00:00:00Z</vt:filetime>
  </property>
  <property fmtid="{D5CDD505-2E9C-101B-9397-08002B2CF9AE}" pid="3" name="Creator">
    <vt:lpwstr>Microsoft® Word for Microsoft 365</vt:lpwstr>
  </property>
  <property fmtid="{D5CDD505-2E9C-101B-9397-08002B2CF9AE}" pid="4" name="LastSaved">
    <vt:filetime>2025-07-18T00:00:00Z</vt:filetime>
  </property>
  <property fmtid="{D5CDD505-2E9C-101B-9397-08002B2CF9AE}" pid="5" name="MSIP_Label_ef975da0-2206-4296-8b08-8eab8a965a3b_ActionId">
    <vt:lpwstr>b970db4d-b5ad-47a5-a8be-f893ce7e04d0</vt:lpwstr>
  </property>
  <property fmtid="{D5CDD505-2E9C-101B-9397-08002B2CF9AE}" pid="6" name="MSIP_Label_ef975da0-2206-4296-8b08-8eab8a965a3b_ContentBits">
    <vt:lpwstr>2</vt:lpwstr>
  </property>
  <property fmtid="{D5CDD505-2E9C-101B-9397-08002B2CF9AE}" pid="7" name="MSIP_Label_ef975da0-2206-4296-8b08-8eab8a965a3b_Enabled">
    <vt:lpwstr>true</vt:lpwstr>
  </property>
  <property fmtid="{D5CDD505-2E9C-101B-9397-08002B2CF9AE}" pid="8" name="MSIP_Label_ef975da0-2206-4296-8b08-8eab8a965a3b_Method">
    <vt:lpwstr>Privileged</vt:lpwstr>
  </property>
  <property fmtid="{D5CDD505-2E9C-101B-9397-08002B2CF9AE}" pid="9" name="MSIP_Label_ef975da0-2206-4296-8b08-8eab8a965a3b_Name">
    <vt:lpwstr>CE-OFFICIAL</vt:lpwstr>
  </property>
  <property fmtid="{D5CDD505-2E9C-101B-9397-08002B2CF9AE}" pid="10" name="MSIP_Label_ef975da0-2206-4296-8b08-8eab8a965a3b_SetDate">
    <vt:lpwstr>2025-07-15T12:30:46Z</vt:lpwstr>
  </property>
  <property fmtid="{D5CDD505-2E9C-101B-9397-08002B2CF9AE}" pid="11" name="MSIP_Label_ef975da0-2206-4296-8b08-8eab8a965a3b_SiteId">
    <vt:lpwstr>cdb92d10-23cb-4ac1-a9b3-34f4faaa2851</vt:lpwstr>
  </property>
  <property fmtid="{D5CDD505-2E9C-101B-9397-08002B2CF9AE}" pid="12" name="MSIP_Label_ef975da0-2206-4296-8b08-8eab8a965a3b_Tag">
    <vt:lpwstr>10, 0, 1, 1</vt:lpwstr>
  </property>
  <property fmtid="{D5CDD505-2E9C-101B-9397-08002B2CF9AE}" pid="13" name="Producer">
    <vt:lpwstr>Microsoft® Word for Microsoft 365</vt:lpwstr>
  </property>
  <property fmtid="{D5CDD505-2E9C-101B-9397-08002B2CF9AE}" pid="14" name="ContentTypeId">
    <vt:lpwstr>0x010100E566A6C84246D84B80A33437BEBF7A49</vt:lpwstr>
  </property>
  <property fmtid="{D5CDD505-2E9C-101B-9397-08002B2CF9AE}" pid="15" name="MediaServiceImageTags">
    <vt:lpwstr/>
  </property>
</Properties>
</file>